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40"/>
      </w:pPr>
      <w:r>
        <w:rPr>
          <w:b/>
          <w:sz w:val="22"/>
          <w:lang w:val="hu-HU"/>
        </w:rPr>
        <w:t>12. évfolyam – oktatás ágazat - Óvodai nevelő szakma - Óvodai gyakorlat tantárgy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139"/>
        <w:gridCol w:w="5443"/>
      </w:tblGrid>
      <w:tr>
        <w:tc>
          <w:tcPr>
            <w:tcW w:type="dxa" w:w="4139"/>
            <w:shd w:fill="EEEEEE"/>
          </w:tcPr>
          <w:p>
            <w:pPr>
              <w:jc w:val="center"/>
            </w:pPr>
            <w:r>
              <w:rPr>
                <w:rFonts w:ascii="Arial" w:hAnsi="Arial"/>
                <w:b/>
                <w:sz w:val="19"/>
                <w:lang w:val="hu-HU"/>
              </w:rPr>
              <w:t>Témakör</w:t>
            </w:r>
          </w:p>
        </w:tc>
        <w:tc>
          <w:tcPr>
            <w:tcW w:type="dxa" w:w="5443"/>
            <w:shd w:fill="EEEEEE"/>
          </w:tcPr>
          <w:p>
            <w:pPr>
              <w:jc w:val="center"/>
            </w:pPr>
            <w:r>
              <w:rPr>
                <w:rFonts w:ascii="Arial" w:hAnsi="Arial"/>
                <w:b/>
                <w:sz w:val="19"/>
                <w:lang w:val="hu-HU"/>
              </w:rPr>
              <w:t>Tananyag</w:t>
            </w:r>
          </w:p>
        </w:tc>
      </w:tr>
      <w:tr>
        <w:tc>
          <w:tcPr>
            <w:tcW w:type="dxa" w:w="4139"/>
            <w:vAlign w:val="top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>
              <w:rPr>
                <w:rFonts w:ascii="Arial" w:hAnsi="Arial"/>
                <w:sz w:val="19"/>
                <w:lang w:val="hu-HU"/>
              </w:rPr>
              <w:t>Az óvoda működésének megismerése</w:t>
            </w:r>
          </w:p>
        </w:tc>
        <w:tc>
          <w:tcPr>
            <w:tcW w:type="dxa" w:w="5443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</w:r>
            <w:r>
              <w:rPr>
                <w:rFonts w:ascii="Arial" w:hAnsi="Arial"/>
                <w:sz w:val="19"/>
                <w:lang w:val="hu-HU"/>
              </w:rPr>
              <w:t>•  Az óvoda működésének megismerése (az adott intézmény személyi feltételei, az épület felépítése, működési feltételei)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Az óvoda pedagógiai programjának, házirendjének megismerése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Az óvodai nevelés dokumentációjának megismerése (csoportnapló, az óvodás gyermek fejlődését nyomon követő dokumentáció, felvételi és mulasztási napló)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Adminisztrációs feladatok az óvodában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Felvételi és mulasztási napló vezetése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csoportba járó gyermekek adatainak kezelése, adatvédelem</w:t>
            </w:r>
          </w:p>
        </w:tc>
      </w:tr>
      <w:tr>
        <w:tc>
          <w:tcPr>
            <w:tcW w:type="dxa" w:w="4139"/>
            <w:vAlign w:val="top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>
              <w:rPr>
                <w:rFonts w:ascii="Arial" w:hAnsi="Arial"/>
                <w:sz w:val="19"/>
                <w:lang w:val="hu-HU"/>
              </w:rPr>
              <w:t>A gyermek tevékenységének megfigyelése, támogatása, problémahelyzetek elemzése</w:t>
            </w:r>
          </w:p>
        </w:tc>
        <w:tc>
          <w:tcPr>
            <w:tcW w:type="dxa" w:w="5443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</w:r>
            <w:r>
              <w:rPr>
                <w:rFonts w:ascii="Arial" w:hAnsi="Arial"/>
                <w:sz w:val="19"/>
                <w:lang w:val="hu-HU"/>
              </w:rPr>
              <w:t>•  A gyermekek fejlettségének mutatói, életkorának megfelelő fejlettség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Az óvodai befogadás folyamata, alapelvei, nehézségei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társas kapcsolatok alakulása, jellemzői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nevelő és a gyermek kapcsolata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játék, munka, tanulás pedagógiai/pszichológiai alapjainak megfigyelése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gyermek játéktevékenységének alakulása Játéktevékenység segítése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gyermek rajz-ábrázolás tevékenységének fejlődése, rajzok alapján a gyermek fejlettségének mutatói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különleges bánásmódot igénylő gyermek: sajátos nevelési igényű gyermek, beilleszkedési, tanulási, magatartási nehézséggel küzdő gyermek, kiemelten tehetséges gyermek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gyermekek kapcsolatainak rendszere, konfliktusmegoldások elemzése, véleményezése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Az óvodai élet tevékenységi formáinak megfigyelése, segítése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Játék (szabadjáték, nevelés a játékban, viselkedési problémák a játékban, a játéksegítés általános alapelvei)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Verselés, mesélés Ének, zene, énekes játék, gyermektánc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Rajzolás, festés, mintázás, kézimunka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Mozgás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külső világ tevékeny megismerése (közlekedés, tájékozódás)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Munka jellegű tevékenységek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Tevékenységekben megvalósuló tanulás (mesterségek megismerése, játékos matematikai nevelés)</w:t>
            </w:r>
          </w:p>
        </w:tc>
      </w:tr>
      <w:tr>
        <w:tc>
          <w:tcPr>
            <w:tcW w:type="dxa" w:w="4139"/>
            <w:vAlign w:val="top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>
              <w:rPr>
                <w:rFonts w:ascii="Arial" w:hAnsi="Arial"/>
                <w:sz w:val="19"/>
                <w:lang w:val="hu-HU"/>
              </w:rPr>
              <w:t>Gondozási tevékenység megfigyelése, irányítása</w:t>
            </w:r>
          </w:p>
        </w:tc>
        <w:tc>
          <w:tcPr>
            <w:tcW w:type="dxa" w:w="5443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</w:r>
            <w:r>
              <w:rPr>
                <w:rFonts w:ascii="Arial" w:hAnsi="Arial"/>
                <w:sz w:val="19"/>
                <w:lang w:val="hu-HU"/>
              </w:rPr>
              <w:t>•  A gondozás szerepe a nevelési folyamatban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Az egészséges életmódra nevelés területei: a gyermek gondozása, testi szükségleteinek, mozgásigényének kielégítése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harmonikus, összerendezett mozgás fejlődésének elősegítése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gyermekek testi képességek fejlődésének segítése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gyermekek egészségének védelme, edzése, óvása, megőrzése; az egészséges életmód, a testápolás, az étkezés, az öltözködés, a betegségmegelőzés és az egészségmegőrzés szokásainak alakítása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gyermekek fejlődéséhez szükséges egészséges és biztonságos környezet feltételei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Gondozási tevékenység elemzése pedagógiai/pszichológiai szempontok alapján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Az óvodai neveléshez kapcsolódó gondozási tevékenységek megfigyelése és kivitelezése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Az egészséges életmód igényének és szokásainak kialakítása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gyermek gondozása, testi szükségleteinek, mozgásigényének kielégítése;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testápolás, szobatisztaságra nevelés, a tisztálkodás, öltözködés segítése és szokásainak kialakítása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kulturált étkezés szokásainak kialakítása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nyugodt alvás, pihenés biztosítása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Az egészséges és biztonságos környezet megteremtése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Speciális gondozási feladatok ellátása</w:t>
            </w:r>
          </w:p>
        </w:tc>
      </w:tr>
      <w:tr>
        <w:tc>
          <w:tcPr>
            <w:tcW w:type="dxa" w:w="4139"/>
            <w:vAlign w:val="top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>
              <w:rPr>
                <w:rFonts w:ascii="Arial" w:hAnsi="Arial"/>
                <w:sz w:val="19"/>
                <w:lang w:val="hu-HU"/>
              </w:rPr>
              <w:t>Anyanyelvi és értelmi fejlesztés megfigyelése és segítése</w:t>
            </w:r>
          </w:p>
        </w:tc>
        <w:tc>
          <w:tcPr>
            <w:tcW w:type="dxa" w:w="5443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</w:r>
            <w:r>
              <w:rPr>
                <w:rFonts w:ascii="Arial" w:hAnsi="Arial"/>
                <w:sz w:val="19"/>
                <w:lang w:val="hu-HU"/>
              </w:rPr>
              <w:t>•  A mondókák, versek, mesék kiválasztása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mesélés Mondókák, versek bemutatása, gyakorlása a gyerekekkel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Éneklés, énekek bemutatása, gyakorlása a gyerekekkel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Az elsajátított előkészítő gyakorlatok alkalmazása (a szakember irányításával) az óvodások körében</w:t>
            </w:r>
          </w:p>
        </w:tc>
      </w:tr>
      <w:tr>
        <w:tc>
          <w:tcPr>
            <w:tcW w:type="dxa" w:w="4139"/>
            <w:vAlign w:val="top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>
              <w:rPr>
                <w:rFonts w:ascii="Arial" w:hAnsi="Arial"/>
                <w:sz w:val="19"/>
                <w:lang w:val="hu-HU"/>
              </w:rPr>
              <w:t>Tevékenységekhez kapcsolódó kreatív alkotás</w:t>
            </w:r>
          </w:p>
        </w:tc>
        <w:tc>
          <w:tcPr>
            <w:tcW w:type="dxa" w:w="5443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</w:r>
            <w:r>
              <w:rPr>
                <w:rFonts w:ascii="Arial" w:hAnsi="Arial"/>
                <w:sz w:val="19"/>
                <w:lang w:val="hu-HU"/>
              </w:rPr>
              <w:t>•  A manuális tevékenységek szerepe a gyermek mozgás- és személyiségfejlődésében: vizuális technikák megismerése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kézműves munkafolyamatok alkalmazása (tervezés, anyag- és technikaválasztás, kivitelezés, díszítés)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természetes anyagok és felhasználási lehetőségeik, öko- design, újrahasznosítás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rajzolás, festés, mintázás alapelemei, különböző technikák alkalmazásának módjai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Dekoráció, ajándék- és játékkészítés lehetőségei Báb-, makett és díszletkészítés, dekoratív felületalakítás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Népművészethez és néphagyományhoz kapcsolódó tárgyak készítése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Szemléltető eszközök készítésének lehetőségei, technikái</w:t>
            </w:r>
          </w:p>
        </w:tc>
      </w:tr>
      <w:tr>
        <w:tc>
          <w:tcPr>
            <w:tcW w:type="dxa" w:w="4139"/>
            <w:vAlign w:val="top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>
              <w:rPr>
                <w:rFonts w:ascii="Arial" w:hAnsi="Arial"/>
                <w:sz w:val="19"/>
                <w:lang w:val="hu-HU"/>
              </w:rPr>
              <w:t>Környezettudatos nevelés, tevékenységek a kertben</w:t>
            </w:r>
          </w:p>
        </w:tc>
        <w:tc>
          <w:tcPr>
            <w:tcW w:type="dxa" w:w="5443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</w:r>
            <w:r>
              <w:rPr>
                <w:rFonts w:ascii="Arial" w:hAnsi="Arial"/>
                <w:sz w:val="19"/>
                <w:lang w:val="hu-HU"/>
              </w:rPr>
              <w:t>•  Környezeti nevelés, szemléletformálás lehetőségei az óvodai nevelés folyamatában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környezet rendjének megtartása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Ismerkedés a Zöld Óvodák Hálózattal, az Erdei Óvodai Programmal stb.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Növények, állatok, élősarok gondozása Zöldséges- és virágoskert gondozása, ismerkedés a gyógynövényekkel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Kerti eszközök, szerszámok biztonságos használata, komposztálás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környezet tevékeny megismerése és védelme a kirándulások során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szelektív hulladékgyűjtésre nevelés, az újrahasznosítás lehetőségei az óvodában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Energiatudatosságra, energiatakarékosságra nevelés a mindennapokban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Zöld jeles napok az óvodában (állatok, víz, föld, madarak, fák napja, stb.)</w:t>
            </w:r>
          </w:p>
        </w:tc>
      </w:tr>
      <w:tr>
        <w:tc>
          <w:tcPr>
            <w:tcW w:type="dxa" w:w="4139"/>
            <w:vAlign w:val="top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>
              <w:rPr>
                <w:rFonts w:ascii="Arial" w:hAnsi="Arial"/>
                <w:sz w:val="19"/>
                <w:lang w:val="hu-HU"/>
              </w:rPr>
              <w:t>Mozgásos tevékenységek óvodáskorban</w:t>
            </w:r>
          </w:p>
        </w:tc>
        <w:tc>
          <w:tcPr>
            <w:tcW w:type="dxa" w:w="5443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</w:r>
            <w:r>
              <w:rPr>
                <w:rFonts w:ascii="Arial" w:hAnsi="Arial"/>
                <w:sz w:val="19"/>
                <w:lang w:val="hu-HU"/>
              </w:rPr>
              <w:t>•  Mozgásfejlődés és -fejlesztés 0–6 éves korban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Mozgásfejlesztés a természetes mozgások segítségével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Motoros képességek fejlesztése játékokkal (utánzó játékok, fogójátékok, dobójátékok, sor- és váltóversenyek stb.) óvodáskorban Járás- és gimnasztikai gyakorlatok vezetésének módszerei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Mindennapos mozgás tervezése, vezetése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Zenére végezhető játékos, táncos mozgásformák, mozgásos játékok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Sportfoglalkozások szervezési feladatai (gyermekfutball, korcsolya, úszás, stb.)</w:t>
            </w:r>
          </w:p>
        </w:tc>
      </w:tr>
      <w:tr>
        <w:tc>
          <w:tcPr>
            <w:tcW w:type="dxa" w:w="4139"/>
            <w:vAlign w:val="top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>
              <w:rPr>
                <w:rFonts w:ascii="Arial" w:hAnsi="Arial"/>
                <w:sz w:val="19"/>
                <w:lang w:val="hu-HU"/>
              </w:rPr>
              <w:t>Óvodán belüli és kívüli programok, a hagyományőrzés lehetőségei</w:t>
            </w:r>
          </w:p>
        </w:tc>
        <w:tc>
          <w:tcPr>
            <w:tcW w:type="dxa" w:w="5443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</w:r>
            <w:r>
              <w:rPr>
                <w:rFonts w:ascii="Arial" w:hAnsi="Arial"/>
                <w:sz w:val="19"/>
                <w:lang w:val="hu-HU"/>
              </w:rPr>
              <w:t>•  Az intézmény napirendje, a csoport tevékenységi területei, csoportfoglalkozások, szervezési feladatok, előkészület, lebonyolítás segítése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jeles napok, népszokások, helyi szokások a köznevelés és a közművelődés intézményeiben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Részvétel az óvodán kívüli programok tervezésében, szervezési feladataiban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Ünnepélyek, rendezvények (pl. nemzeti, vallási ünnepek, családi nap, falu-, városnap, előadások, találkozók, könyvgyűjtés, közösségépítés, kapcsolat generációk között stb.)</w:t>
            </w:r>
          </w:p>
        </w:tc>
      </w:tr>
      <w:tr>
        <w:tc>
          <w:tcPr>
            <w:tcW w:type="dxa" w:w="4139"/>
            <w:vAlign w:val="top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>
              <w:rPr>
                <w:rFonts w:ascii="Arial" w:hAnsi="Arial"/>
                <w:sz w:val="19"/>
                <w:lang w:val="hu-HU"/>
              </w:rPr>
              <w:t>Családi nevelés és óvodai nevelés kapcsolata</w:t>
            </w:r>
          </w:p>
        </w:tc>
        <w:tc>
          <w:tcPr>
            <w:tcW w:type="dxa" w:w="5443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</w:r>
            <w:r>
              <w:rPr>
                <w:rFonts w:ascii="Arial" w:hAnsi="Arial"/>
                <w:sz w:val="19"/>
                <w:lang w:val="hu-HU"/>
              </w:rPr>
              <w:t>•  Együttműködés a családdal, szakemberekkel (gyermekvédelmi felelős, szociális munkás, pszichológus, fejlesztőpedagógus stb.)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Az óvodai szülői értekezletek szerepe, témái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gyermek otthoni környezetének megismerése, családlátogatás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Az interperszonális kapcsolatok (szülő, gondviselő-gyermek- óvodapedagógus), a konfliktuskezelés hatékony módszerei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Az óvoda prevenciós munkája (a jelzőrendszer működése)</w:t>
            </w:r>
          </w:p>
        </w:tc>
      </w:tr>
    </w:tbl>
    <w:sectPr w:rsidR="00FC693F" w:rsidRPr="0006063C" w:rsidSect="00034616">
      <w:pgSz w:w="12240" w:h="15840"/>
      <w:pgMar w:top="1020" w:right="1020" w:bottom="964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ListaSajat">
    <w:name w:val="ListaSajat"/>
    <w:basedOn w:val="Normal"/>
    <w:pPr>
      <w:spacing w:after="60" w:line="259" w:lineRule="auto"/>
      <w:ind w:left="272" w:hanging="204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