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b/>
          <w:sz w:val="22"/>
          <w:lang w:val="hu-HU"/>
        </w:rPr>
        <w:t>11. évfolyam – oktatás ágazat- oktatási szakasszisztens szakma – Pszichológia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422"/>
        <w:gridCol w:w="5159"/>
      </w:tblGrid>
      <w:tr>
        <w:tc>
          <w:tcPr>
            <w:tcW w:type="dxa" w:w="4422"/>
            <w:vAlign w:val="center"/>
            <w:shd w:fill="EAEAEA"/>
          </w:tcPr>
          <w:p>
            <w:pPr>
              <w:jc w:val="center"/>
            </w:pPr>
            <w:r>
              <w:rPr>
                <w:rFonts w:ascii="Arial" w:hAnsi="Arial"/>
                <w:sz w:val="19"/>
                <w:lang w:val="hu-HU"/>
              </w:rPr>
              <w:t>Témakör</w:t>
            </w:r>
          </w:p>
        </w:tc>
        <w:tc>
          <w:tcPr>
            <w:tcW w:type="dxa" w:w="5159"/>
            <w:vAlign w:val="center"/>
            <w:shd w:fill="EAEAEA"/>
          </w:tcPr>
          <w:p>
            <w:pPr>
              <w:jc w:val="center"/>
            </w:pPr>
            <w:r>
              <w:rPr>
                <w:rFonts w:ascii="Arial" w:hAnsi="Arial"/>
                <w:sz w:val="19"/>
                <w:lang w:val="hu-HU"/>
              </w:rPr>
              <w:t>Tananyag</w:t>
            </w:r>
          </w:p>
        </w:tc>
      </w:tr>
      <w:tr>
        <w:tc>
          <w:tcPr>
            <w:tcW w:type="dxa" w:w="4422"/>
            <w:vAlign w:val="top"/>
          </w:tcPr>
          <w:p>
            <w:r>
              <w:rPr>
                <w:rFonts w:ascii="Arial" w:hAnsi="Arial"/>
                <w:sz w:val="19"/>
                <w:lang w:val="hu-HU"/>
              </w:rPr>
              <w:t>Általános pszichológia</w:t>
            </w:r>
          </w:p>
        </w:tc>
        <w:tc>
          <w:tcPr>
            <w:tcW w:type="dxa" w:w="5159"/>
            <w:vAlign w:val="top"/>
          </w:tcPr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pszichológia fogalma, tárgya, felosztása, helye a tudományok rendszerében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megismerő folyamatok rendszere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érzékelés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észlelés, az érzéki csalódások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figyelem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képzelet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emlékezés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tanulás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gondolkodás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motiváció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érzelem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stressz</w:t>
            </w:r>
          </w:p>
        </w:tc>
      </w:tr>
      <w:tr>
        <w:tc>
          <w:tcPr>
            <w:tcW w:type="dxa" w:w="4422"/>
            <w:vAlign w:val="top"/>
          </w:tcPr>
          <w:p>
            <w:r>
              <w:rPr>
                <w:rFonts w:ascii="Arial" w:hAnsi="Arial"/>
                <w:sz w:val="19"/>
                <w:lang w:val="hu-HU"/>
              </w:rPr>
              <w:t>Személyiséglélektan</w:t>
            </w:r>
          </w:p>
        </w:tc>
        <w:tc>
          <w:tcPr>
            <w:tcW w:type="dxa" w:w="5159"/>
            <w:vAlign w:val="top"/>
          </w:tcPr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</w:r>
            <w:r>
              <w:rPr>
                <w:rFonts w:ascii="Arial" w:hAnsi="Arial"/>
                <w:sz w:val="19"/>
                <w:lang w:val="hu-HU"/>
              </w:rPr>
              <w:t>•  A személyiséglélektan fogalma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személyiség fogalma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személyiség kialakulása, fejlődése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személyiség fejlődését befolyásoló tényezők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személyiség tipológiai megközelítése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Személyiségelméletek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 jellem</w:t>
            </w:r>
          </w:p>
          <w:p>
            <w:pPr>
              <w:spacing w:after="40"/>
              <w:ind w:left="312" w:hanging="198"/>
            </w:pPr>
            <w:r>
              <w:rPr>
                <w:rFonts w:ascii="Arial" w:hAnsi="Arial"/>
                <w:sz w:val="19"/>
                <w:lang w:val="hu-HU"/>
              </w:rPr>
              <w:t>•  Az érett személyiség kritériumai</w:t>
            </w:r>
          </w:p>
        </w:tc>
      </w:tr>
    </w:tbl>
    <w:sectPr w:rsidR="00FC693F" w:rsidRPr="0006063C" w:rsidSect="00034616">
      <w:pgSz w:w="12240" w:h="15840"/>
      <w:pgMar w:top="964" w:right="935" w:bottom="907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