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40"/>
      </w:pPr>
      <w:r>
        <w:rPr>
          <w:b/>
          <w:sz w:val="22"/>
        </w:rPr>
        <w:t>11. évfolyam – oktatás ágazat - Óvodai nevelő szakma - Pszichológia tantárgy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082"/>
        <w:gridCol w:w="5669"/>
      </w:tblGrid>
      <w:tr>
        <w:tc>
          <w:tcPr>
            <w:tcW w:type="dxa" w:w="5156"/>
            <w:vAlign w:val="center"/>
            <w:shd w:fill="EDEDED"/>
          </w:tcPr>
          <w:p>
            <w:pPr>
              <w:spacing w:line="259" w:lineRule="auto"/>
              <w:jc w:val="center"/>
            </w:pPr>
            <w:r>
              <w:rPr>
                <w:rFonts w:ascii="Arial" w:hAnsi="Arial"/>
                <w:b/>
                <w:sz w:val="20"/>
              </w:rPr>
              <w:t>Témakör</w:t>
            </w:r>
          </w:p>
        </w:tc>
        <w:tc>
          <w:tcPr>
            <w:tcW w:type="dxa" w:w="5156"/>
            <w:vAlign w:val="center"/>
            <w:shd w:fill="EDEDED"/>
          </w:tcPr>
          <w:p>
            <w:pPr>
              <w:spacing w:line="259" w:lineRule="auto"/>
              <w:jc w:val="center"/>
            </w:pPr>
            <w:r>
              <w:rPr>
                <w:rFonts w:ascii="Arial" w:hAnsi="Arial"/>
                <w:b/>
                <w:sz w:val="20"/>
              </w:rPr>
              <w:t>Tananyag</w:t>
            </w:r>
          </w:p>
        </w:tc>
      </w:tr>
      <w:tr>
        <w:tc>
          <w:tcPr>
            <w:tcW w:type="dxa" w:w="4082"/>
            <w:vAlign w:val="top"/>
          </w:tcPr>
          <w:p>
            <w:pPr>
              <w:spacing w:line="259" w:lineRule="auto"/>
            </w:pPr>
            <w:r>
              <w:rPr>
                <w:rFonts w:ascii="Arial" w:hAnsi="Arial"/>
                <w:sz w:val="20"/>
              </w:rPr>
              <w:t>Általános pszichológia</w:t>
            </w:r>
          </w:p>
        </w:tc>
        <w:tc>
          <w:tcPr>
            <w:tcW w:type="dxa" w:w="5669"/>
          </w:tcPr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t>•  A pszichológia fogalma, tárgya, felosztása, helye a tudományok rendszerében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  <w:t>•  A megismerő folyamatok rendszere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  <w:t>•  Az érzékelés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  <w:t>•  Az észlelés, az érzéki csalódások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  <w:t>•  A figyelem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  <w:t>•  A képzelet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  <w:t>•  Az emlékezés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  <w:t>•  A tanulás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  <w:t>•  A gondolkodás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  <w:t>•  A motiváció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  <w:t>•  Az érzelem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  <w:t>•  A stressz</w:t>
            </w:r>
          </w:p>
        </w:tc>
      </w:tr>
      <w:tr>
        <w:tc>
          <w:tcPr>
            <w:tcW w:type="dxa" w:w="4082"/>
            <w:vAlign w:val="top"/>
          </w:tcPr>
          <w:p>
            <w:pPr>
              <w:spacing w:line="259" w:lineRule="auto"/>
            </w:pPr>
            <w:r>
              <w:rPr>
                <w:rFonts w:ascii="Arial" w:hAnsi="Arial"/>
                <w:sz w:val="20"/>
              </w:rPr>
              <w:t>Személyiséglélektan</w:t>
            </w:r>
          </w:p>
        </w:tc>
        <w:tc>
          <w:tcPr>
            <w:tcW w:type="dxa" w:w="5669"/>
          </w:tcPr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t>•  A személyiséglélektan fogalma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  <w:t>•  A személyiség fogalma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  <w:t>•  A személyiség kialakulása,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  <w:t>•  fejlődése A személyiség fejlődését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  <w:t>•  befolyásoló tényezők A személyiség tipológiai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  <w:t>•  megközelítése Személyiségelméletek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  <w:t>•  A jellem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20"/>
              </w:rPr>
              <w:t>•  Az érett személyiség kritériumai</w:t>
            </w:r>
          </w:p>
        </w:tc>
      </w:tr>
    </w:tbl>
    <w:sectPr w:rsidR="00FC693F" w:rsidRPr="0006063C" w:rsidSect="00034616">
      <w:pgSz w:w="12240" w:h="15840"/>
      <w:pgMar w:top="1020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color w:val="000000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