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0"/>
      </w:pPr>
      <w:r>
        <w:rPr>
          <w:rFonts w:ascii="Arial" w:hAnsi="Arial"/>
          <w:b/>
          <w:sz w:val="22"/>
        </w:rPr>
        <w:t>10. évfolyam – oktatás ágazat – pszichológia tantárgy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309"/>
        <w:gridCol w:w="5216"/>
      </w:tblGrid>
      <w:tr>
        <w:tc>
          <w:tcPr>
            <w:tcW w:type="dxa" w:w="4309"/>
            <w:vAlign w:val="top"/>
            <w:shd w:fill="EAEAEA"/>
          </w:tcPr>
          <w:p>
            <w:pPr>
              <w:spacing w:line="259" w:lineRule="auto"/>
              <w:jc w:val="center"/>
            </w:pP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b/>
                <w:sz w:val="20"/>
              </w:rPr>
              <w:t>Témakör</w:t>
            </w:r>
          </w:p>
        </w:tc>
        <w:tc>
          <w:tcPr>
            <w:tcW w:type="dxa" w:w="5216"/>
            <w:vAlign w:val="top"/>
            <w:shd w:fill="EAEAEA"/>
          </w:tcPr>
          <w:p>
            <w:pPr>
              <w:spacing w:line="259" w:lineRule="auto"/>
              <w:jc w:val="center"/>
            </w:pP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b/>
                <w:sz w:val="20"/>
              </w:rPr>
              <w:t>Tananyag</w:t>
            </w:r>
          </w:p>
        </w:tc>
      </w:tr>
      <w:tr>
        <w:tc>
          <w:tcPr>
            <w:tcW w:type="dxa" w:w="4309"/>
            <w:vAlign w:val="top"/>
          </w:tcPr>
          <w:p>
            <w:pPr>
              <w:spacing w:line="259" w:lineRule="auto"/>
            </w:pPr>
            <w:r>
              <w:rPr>
                <w:rFonts w:ascii="Arial" w:hAnsi="Arial"/>
                <w:sz w:val="19"/>
              </w:rPr>
            </w:r>
            <w:r>
              <w:rPr>
                <w:rFonts w:ascii="Arial" w:hAnsi="Arial"/>
                <w:sz w:val="19"/>
              </w:rPr>
              <w:t>„Adottságtól a tehetségig” (A személyiség kibontakoztatása)</w:t>
            </w:r>
          </w:p>
        </w:tc>
        <w:tc>
          <w:tcPr>
            <w:tcW w:type="dxa" w:w="5216"/>
            <w:vAlign w:val="top"/>
          </w:tcPr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</w: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Személyiség és egyéniség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Személyiségfejlődést befolyásoló hatások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Velünk született adottságaink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Mire vagyok képes, miben vagyok ügyes? (Képességekből készségek és jártasságok)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Mi fán terem a kompetencia?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Többféleképpen lehetek intelligens? (Az intelligencia fogalma, területei)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Másként látom és csinálom, mint mások? (A kreativitás jellemzői és fejlesztése)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Mindenki jó valamiben, na de miben?! (A tehetség felismerése)</w:t>
            </w:r>
          </w:p>
          <w:p>
            <w:pPr>
              <w:spacing w:after="40" w:line="259" w:lineRule="auto"/>
              <w:ind w:left="312" w:hanging="198"/>
            </w:pPr>
            <w:r>
              <w:rPr>
                <w:rFonts w:ascii="Arial" w:hAnsi="Arial"/>
                <w:sz w:val="19"/>
              </w:rPr>
              <w:t xml:space="preserve">•  </w:t>
            </w:r>
            <w:r>
              <w:rPr>
                <w:rFonts w:ascii="Arial" w:hAnsi="Arial"/>
                <w:sz w:val="19"/>
              </w:rPr>
              <w:t>Könnyű neked, ha intelligens, kreatív és tehetséges vagy?! (A tehetség kibontakoztatása)</w:t>
            </w:r>
          </w:p>
        </w:tc>
      </w:tr>
    </w:tbl>
    <w:sectPr w:rsidR="00FC693F" w:rsidRPr="0006063C" w:rsidSect="00034616">
      <w:pgSz w:w="12240" w:h="15840"/>
      <w:pgMar w:top="964" w:right="1020" w:bottom="907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