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rPr>
          <w:rFonts w:ascii="Arial" w:hAnsi="Arial"/>
          <w:b/>
          <w:sz w:val="22"/>
        </w:rPr>
        <w:t>10. évfolyam – oktatás ágazat- pedagógiai gyakorlat tantárgy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309"/>
        <w:gridCol w:w="5216"/>
      </w:tblGrid>
      <w:tr>
        <w:tc>
          <w:tcPr>
            <w:tcW w:type="dxa" w:w="4309"/>
            <w:vAlign w:val="top"/>
            <w:shd w:fill="EAEAEA"/>
          </w:tcPr>
          <w:p>
            <w:pPr>
              <w:spacing w:line="259" w:lineRule="auto"/>
              <w:jc w:val="center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b/>
                <w:sz w:val="20"/>
              </w:rPr>
              <w:t>Témakör</w:t>
            </w:r>
          </w:p>
        </w:tc>
        <w:tc>
          <w:tcPr>
            <w:tcW w:type="dxa" w:w="5216"/>
            <w:vAlign w:val="top"/>
            <w:shd w:fill="EAEAEA"/>
          </w:tcPr>
          <w:p>
            <w:pPr>
              <w:spacing w:line="259" w:lineRule="auto"/>
              <w:jc w:val="center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b/>
                <w:sz w:val="20"/>
              </w:rPr>
              <w:t>Tananyag</w:t>
            </w:r>
          </w:p>
        </w:tc>
      </w:tr>
      <w:tr>
        <w:tc>
          <w:tcPr>
            <w:tcW w:type="dxa" w:w="4309"/>
            <w:vAlign w:val="top"/>
          </w:tcPr>
          <w:p>
            <w:pPr>
              <w:spacing w:line="259" w:lineRule="auto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>A gyermekek, serdülők, fiatalok és az intézmények megismerésének lehetőségei</w:t>
            </w:r>
          </w:p>
        </w:tc>
        <w:tc>
          <w:tcPr>
            <w:tcW w:type="dxa" w:w="5216"/>
            <w:vAlign w:val="top"/>
          </w:tcPr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hospitálások során a bölcsőde, a köznevelési és szakképző intézmények, alternatív pedagógiai intézmények, civil szervezetek, stb. működésének megismerése (jogszabályi háttér, intézményi rendszer, adott intézmény személyi feltételei, épület felépítése, működési feltételei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gyermekek, serdülők, fiatalok megismerésének módjai, a megfigyelés, a módszer alkalmazásának pszichológiai, pedagógiai és etikai feltételei.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játék, munka, tanulás pedagógiai/pszichológiai alapjainak megfigyelése.</w:t>
            </w:r>
          </w:p>
        </w:tc>
      </w:tr>
      <w:tr>
        <w:tc>
          <w:tcPr>
            <w:tcW w:type="dxa" w:w="4309"/>
            <w:vAlign w:val="top"/>
          </w:tcPr>
          <w:p>
            <w:pPr>
              <w:spacing w:line="259" w:lineRule="auto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>A gyermekek, serdülők, fiatalok tevékenységének megfigyelése, irányítása, problémahelyzetek elemzése</w:t>
            </w:r>
          </w:p>
        </w:tc>
        <w:tc>
          <w:tcPr>
            <w:tcW w:type="dxa" w:w="5216"/>
            <w:vAlign w:val="top"/>
          </w:tcPr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gyermekek, serdülők, fiatalok fejlettségének mutatói, életkorának megfelelő fejlettség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társas kapcsolatok alakulása, jellemzői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nevelő és a gyermek/tanuló kapcsolata</w:t>
            </w:r>
          </w:p>
        </w:tc>
      </w:tr>
      <w:tr>
        <w:tc>
          <w:tcPr>
            <w:tcW w:type="dxa" w:w="4309"/>
            <w:vAlign w:val="top"/>
          </w:tcPr>
          <w:p>
            <w:pPr>
              <w:spacing w:line="259" w:lineRule="auto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>Gondozási tevékenység megfigyelése, irányítása</w:t>
            </w:r>
          </w:p>
        </w:tc>
        <w:tc>
          <w:tcPr>
            <w:tcW w:type="dxa" w:w="5216"/>
            <w:vAlign w:val="top"/>
          </w:tcPr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gondozás szerepe a nevelési folyamatban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egészséges életmódra nevelés területei: a gyermek, serdülők, fiatalok gondozása, testi szükségleteinek, mozgásigényének kielégítése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harmonikus, összerendezett mozgás fejlődésének elősegítése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gyermekek, serdülők, fiatalok testi képességek fejlődésének segítése (10- 12. évfolyam; 13-14. évfolyam)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gyermekek, serdülők, fiatalok egészségének védelme, edzése, óvása, megőrzése; az egészséges életmód, a testápolás, az étkezés, az öltözködés, a betegségmegelőzés és az egészségmegőrzés szokásainak alakítása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gyermekek, serdülők, fiatalok fejlődéséhez és fejlesztéséhez szükséges egészséges és biztonságos környezet feltételei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Gondozási tevékenység elemzése pedagógiai/pszichológiai szempontok alapján</w:t>
            </w:r>
          </w:p>
        </w:tc>
      </w:tr>
    </w:tbl>
    <w:p>
      <w:r>
        <w:br w:type="page"/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309"/>
        <w:gridCol w:w="5216"/>
      </w:tblGrid>
      <w:tr>
        <w:tc>
          <w:tcPr>
            <w:tcW w:type="dxa" w:w="4309"/>
            <w:vAlign w:val="top"/>
          </w:tcPr>
          <w:p>
            <w:pPr>
              <w:spacing w:line="259" w:lineRule="auto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>Tevékenységekhez kapcsolódó kreatív alkotás</w:t>
            </w:r>
          </w:p>
        </w:tc>
        <w:tc>
          <w:tcPr>
            <w:tcW w:type="dxa" w:w="5216"/>
            <w:vAlign w:val="top"/>
          </w:tcPr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kézműves munkafolyamatok alkalmazása (tervezés, anyag- és technikaválasztás, kivitelezés, díszítés)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természetes anyagok és felhasználási lehetőségeik, öko-design, újrahasznosítás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rajzolás, festés, mintázás alapelemei, különböző technikák alkalmazásának módjai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Dekoráció, ajándék- és játékkészítés lehetőségei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Báb-, makett és díszletkészítés, dekoratív felületalakítás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Népművészethez és néphagyományhoz kapcsolódó tárgyak készítése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Szemléltető eszközök készítésének lehetőségei, technikái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manuális tevékenységek szerepe a gyermek mozgás- és személyiségfejlődésében: vizuális technikák megismerése</w:t>
            </w:r>
          </w:p>
        </w:tc>
      </w:tr>
    </w:tbl>
    <w:sectPr w:rsidR="00FC693F" w:rsidRPr="0006063C" w:rsidSect="00034616">
      <w:pgSz w:w="12240" w:h="15840"/>
      <w:pgMar w:top="964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